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C8D" w:rsidRPr="007F3C28" w:rsidRDefault="00442C8D">
      <w:pPr>
        <w:rPr>
          <w:rFonts w:ascii="Franklin Gothic Heavy" w:hAnsi="Franklin Gothic Heavy"/>
          <w:color w:val="1F497D" w:themeColor="text2"/>
          <w:sz w:val="26"/>
          <w:szCs w:val="26"/>
        </w:rPr>
      </w:pPr>
    </w:p>
    <w:p w:rsidR="004466E3" w:rsidRPr="007F3C28" w:rsidRDefault="00442C8D" w:rsidP="004466E3">
      <w:pPr>
        <w:jc w:val="center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ARACO</w:t>
      </w:r>
    </w:p>
    <w:p w:rsidR="004466E3" w:rsidRPr="007F3C28" w:rsidRDefault="00442C8D" w:rsidP="004466E3">
      <w:pPr>
        <w:jc w:val="center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- Comunicat de presa –</w:t>
      </w:r>
    </w:p>
    <w:p w:rsidR="00442C8D" w:rsidRPr="007F3C28" w:rsidRDefault="00442C8D" w:rsidP="004466E3">
      <w:pPr>
        <w:jc w:val="center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24.03.2015</w:t>
      </w:r>
    </w:p>
    <w:p w:rsidR="00442C8D" w:rsidRDefault="00442C8D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</w:p>
    <w:p w:rsidR="007F3C28" w:rsidRPr="007F3C28" w:rsidRDefault="007F3C28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</w:p>
    <w:p w:rsidR="00442C8D" w:rsidRPr="007F3C28" w:rsidRDefault="00442C8D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ARACO atrage at</w:t>
      </w:r>
      <w:r w:rsidR="00F971E7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entia autoritatilor centrale/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locale</w:t>
      </w:r>
      <w:r w:rsidR="00F971E7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si entitatilor achizitoare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din Romania asupra riscurilor majore generate de impredictibilitatea consistenta in ceea ce priveste plata creantelor catre constructori,  finantarea investitiilor incepute sau a unor proiecte noi in 2015 pe fondul </w:t>
      </w:r>
      <w:r w:rsid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contractiei  severe si continue a sectorului </w:t>
      </w:r>
      <w:r w:rsid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in </w:t>
      </w:r>
      <w:r w:rsid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ultimii 6 ani !</w:t>
      </w:r>
    </w:p>
    <w:tbl>
      <w:tblPr>
        <w:tblStyle w:val="MediumShading2-Accent3"/>
        <w:tblW w:w="0" w:type="auto"/>
        <w:tblLook w:val="04A0"/>
      </w:tblPr>
      <w:tblGrid>
        <w:gridCol w:w="2335"/>
        <w:gridCol w:w="1068"/>
        <w:gridCol w:w="1067"/>
        <w:gridCol w:w="987"/>
        <w:gridCol w:w="987"/>
        <w:gridCol w:w="1048"/>
        <w:gridCol w:w="898"/>
        <w:gridCol w:w="898"/>
      </w:tblGrid>
      <w:tr w:rsidR="0013786E" w:rsidRPr="007F3C28" w:rsidTr="00483ED6">
        <w:trPr>
          <w:cnfStyle w:val="100000000000"/>
        </w:trPr>
        <w:tc>
          <w:tcPr>
            <w:cnfStyle w:val="001000000100"/>
            <w:tcW w:w="2404" w:type="dxa"/>
          </w:tcPr>
          <w:p w:rsidR="00D95AA8" w:rsidRPr="007F3C28" w:rsidRDefault="00D95AA8" w:rsidP="002E4C01">
            <w:pPr>
              <w:jc w:val="both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</w:p>
        </w:tc>
        <w:tc>
          <w:tcPr>
            <w:tcW w:w="1080" w:type="dxa"/>
          </w:tcPr>
          <w:p w:rsidR="00D95AA8" w:rsidRPr="007F3C28" w:rsidRDefault="00D95AA8" w:rsidP="002E4C01">
            <w:pPr>
              <w:jc w:val="both"/>
              <w:cnfStyle w:val="100000000000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2008</w:t>
            </w:r>
          </w:p>
        </w:tc>
        <w:tc>
          <w:tcPr>
            <w:tcW w:w="1079" w:type="dxa"/>
          </w:tcPr>
          <w:p w:rsidR="00D95AA8" w:rsidRPr="007F3C28" w:rsidRDefault="00D95AA8" w:rsidP="002E4C01">
            <w:pPr>
              <w:jc w:val="both"/>
              <w:cnfStyle w:val="100000000000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2009</w:t>
            </w:r>
          </w:p>
        </w:tc>
        <w:tc>
          <w:tcPr>
            <w:tcW w:w="993" w:type="dxa"/>
          </w:tcPr>
          <w:p w:rsidR="00D95AA8" w:rsidRPr="007F3C28" w:rsidRDefault="00D95AA8" w:rsidP="002E4C01">
            <w:pPr>
              <w:jc w:val="both"/>
              <w:cnfStyle w:val="100000000000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2010</w:t>
            </w:r>
          </w:p>
        </w:tc>
        <w:tc>
          <w:tcPr>
            <w:tcW w:w="993" w:type="dxa"/>
          </w:tcPr>
          <w:p w:rsidR="00D95AA8" w:rsidRPr="007F3C28" w:rsidRDefault="00D95AA8" w:rsidP="002E4C01">
            <w:pPr>
              <w:jc w:val="both"/>
              <w:cnfStyle w:val="100000000000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2011</w:t>
            </w:r>
          </w:p>
        </w:tc>
        <w:tc>
          <w:tcPr>
            <w:tcW w:w="1059" w:type="dxa"/>
          </w:tcPr>
          <w:p w:rsidR="00D95AA8" w:rsidRPr="007F3C28" w:rsidRDefault="00D95AA8" w:rsidP="002E4C01">
            <w:pPr>
              <w:jc w:val="both"/>
              <w:cnfStyle w:val="100000000000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2012</w:t>
            </w:r>
          </w:p>
        </w:tc>
        <w:tc>
          <w:tcPr>
            <w:tcW w:w="840" w:type="dxa"/>
          </w:tcPr>
          <w:p w:rsidR="00D95AA8" w:rsidRPr="007F3C28" w:rsidRDefault="00D95AA8" w:rsidP="002E4C01">
            <w:pPr>
              <w:jc w:val="both"/>
              <w:cnfStyle w:val="100000000000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2013</w:t>
            </w:r>
          </w:p>
        </w:tc>
        <w:tc>
          <w:tcPr>
            <w:tcW w:w="840" w:type="dxa"/>
          </w:tcPr>
          <w:p w:rsidR="00D95AA8" w:rsidRPr="007F3C28" w:rsidRDefault="00D95AA8" w:rsidP="002E4C01">
            <w:pPr>
              <w:jc w:val="both"/>
              <w:cnfStyle w:val="100000000000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2014</w:t>
            </w:r>
          </w:p>
        </w:tc>
      </w:tr>
      <w:tr w:rsidR="0013786E" w:rsidRPr="007F3C28" w:rsidTr="00483ED6">
        <w:trPr>
          <w:cnfStyle w:val="000000100000"/>
        </w:trPr>
        <w:tc>
          <w:tcPr>
            <w:cnfStyle w:val="001000000000"/>
            <w:tcW w:w="2404" w:type="dxa"/>
          </w:tcPr>
          <w:p w:rsidR="00D95AA8" w:rsidRPr="007F3C28" w:rsidRDefault="00D95AA8" w:rsidP="002E4C01">
            <w:pPr>
              <w:jc w:val="both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 xml:space="preserve">Productie realizata </w:t>
            </w:r>
          </w:p>
          <w:p w:rsidR="00D95AA8" w:rsidRPr="007F3C28" w:rsidRDefault="00D95AA8" w:rsidP="002E4C01">
            <w:pPr>
              <w:jc w:val="both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( mlrd. Euro</w:t>
            </w:r>
            <w:r w:rsidR="00483ED6"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 xml:space="preserve"> </w:t>
            </w: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)</w:t>
            </w:r>
          </w:p>
        </w:tc>
        <w:tc>
          <w:tcPr>
            <w:tcW w:w="1080" w:type="dxa"/>
          </w:tcPr>
          <w:p w:rsidR="00D95AA8" w:rsidRPr="007F3C28" w:rsidRDefault="00D95AA8" w:rsidP="002E4C01">
            <w:pPr>
              <w:jc w:val="both"/>
              <w:cnfStyle w:val="0000001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15,3</w:t>
            </w:r>
          </w:p>
        </w:tc>
        <w:tc>
          <w:tcPr>
            <w:tcW w:w="1079" w:type="dxa"/>
          </w:tcPr>
          <w:p w:rsidR="00D95AA8" w:rsidRPr="007F3C28" w:rsidRDefault="00D95AA8" w:rsidP="002E4C01">
            <w:pPr>
              <w:jc w:val="both"/>
              <w:cnfStyle w:val="0000001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11,7</w:t>
            </w:r>
          </w:p>
        </w:tc>
        <w:tc>
          <w:tcPr>
            <w:tcW w:w="993" w:type="dxa"/>
          </w:tcPr>
          <w:p w:rsidR="00D95AA8" w:rsidRPr="007F3C28" w:rsidRDefault="00D95AA8" w:rsidP="002E4C01">
            <w:pPr>
              <w:jc w:val="both"/>
              <w:cnfStyle w:val="0000001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9,7</w:t>
            </w:r>
          </w:p>
        </w:tc>
        <w:tc>
          <w:tcPr>
            <w:tcW w:w="993" w:type="dxa"/>
          </w:tcPr>
          <w:p w:rsidR="00D95AA8" w:rsidRPr="007F3C28" w:rsidRDefault="00D95AA8" w:rsidP="002E4C01">
            <w:pPr>
              <w:jc w:val="both"/>
              <w:cnfStyle w:val="0000001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9,331</w:t>
            </w:r>
          </w:p>
        </w:tc>
        <w:tc>
          <w:tcPr>
            <w:tcW w:w="1059" w:type="dxa"/>
          </w:tcPr>
          <w:p w:rsidR="00D95AA8" w:rsidRPr="007F3C28" w:rsidRDefault="00D95AA8" w:rsidP="002E4C01">
            <w:pPr>
              <w:jc w:val="both"/>
              <w:cnfStyle w:val="0000001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9,330</w:t>
            </w:r>
          </w:p>
        </w:tc>
        <w:tc>
          <w:tcPr>
            <w:tcW w:w="840" w:type="dxa"/>
          </w:tcPr>
          <w:p w:rsidR="00D95AA8" w:rsidRPr="007F3C28" w:rsidRDefault="00D95AA8" w:rsidP="002E4C01">
            <w:pPr>
              <w:jc w:val="both"/>
              <w:cnfStyle w:val="0000001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9,360</w:t>
            </w:r>
          </w:p>
        </w:tc>
        <w:tc>
          <w:tcPr>
            <w:tcW w:w="840" w:type="dxa"/>
          </w:tcPr>
          <w:p w:rsidR="00D95AA8" w:rsidRPr="007F3C28" w:rsidRDefault="00D95AA8" w:rsidP="002E4C01">
            <w:pPr>
              <w:jc w:val="both"/>
              <w:cnfStyle w:val="0000001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8,985</w:t>
            </w:r>
          </w:p>
        </w:tc>
      </w:tr>
      <w:tr w:rsidR="0013786E" w:rsidRPr="007F3C28" w:rsidTr="00483ED6">
        <w:tc>
          <w:tcPr>
            <w:cnfStyle w:val="001000000000"/>
            <w:tcW w:w="2404" w:type="dxa"/>
          </w:tcPr>
          <w:p w:rsidR="00D95AA8" w:rsidRPr="007F3C28" w:rsidRDefault="00483ED6" w:rsidP="002E4C01">
            <w:pPr>
              <w:jc w:val="both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N</w:t>
            </w:r>
            <w:r w:rsidR="00D95AA8"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 xml:space="preserve">r mediu </w:t>
            </w: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sector</w:t>
            </w:r>
          </w:p>
          <w:p w:rsidR="00D95AA8" w:rsidRPr="007F3C28" w:rsidRDefault="00D95AA8" w:rsidP="002E4C01">
            <w:pPr>
              <w:jc w:val="both"/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( mii angajati</w:t>
            </w:r>
            <w:r w:rsidR="00483ED6"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 xml:space="preserve"> </w:t>
            </w:r>
            <w:r w:rsidRPr="007F3C28">
              <w:rPr>
                <w:rFonts w:ascii="Franklin Gothic Heavy" w:hAnsi="Franklin Gothic Heavy" w:cs="Andalus"/>
                <w:b w:val="0"/>
                <w:color w:val="1F497D" w:themeColor="text2"/>
                <w:sz w:val="26"/>
                <w:szCs w:val="26"/>
              </w:rPr>
              <w:t>)</w:t>
            </w:r>
          </w:p>
        </w:tc>
        <w:tc>
          <w:tcPr>
            <w:tcW w:w="1080" w:type="dxa"/>
          </w:tcPr>
          <w:p w:rsidR="00D95AA8" w:rsidRPr="007F3C28" w:rsidRDefault="00D95AA8" w:rsidP="002E4C01">
            <w:pPr>
              <w:jc w:val="both"/>
              <w:cnfStyle w:val="0000000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414,6</w:t>
            </w:r>
          </w:p>
        </w:tc>
        <w:tc>
          <w:tcPr>
            <w:tcW w:w="1079" w:type="dxa"/>
          </w:tcPr>
          <w:p w:rsidR="00D95AA8" w:rsidRPr="007F3C28" w:rsidRDefault="00D95AA8" w:rsidP="002E4C01">
            <w:pPr>
              <w:jc w:val="both"/>
              <w:cnfStyle w:val="0000000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366,6</w:t>
            </w:r>
          </w:p>
        </w:tc>
        <w:tc>
          <w:tcPr>
            <w:tcW w:w="993" w:type="dxa"/>
          </w:tcPr>
          <w:p w:rsidR="00D95AA8" w:rsidRPr="007F3C28" w:rsidRDefault="00D95AA8" w:rsidP="002E4C01">
            <w:pPr>
              <w:jc w:val="both"/>
              <w:cnfStyle w:val="0000000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317,1</w:t>
            </w:r>
          </w:p>
        </w:tc>
        <w:tc>
          <w:tcPr>
            <w:tcW w:w="993" w:type="dxa"/>
          </w:tcPr>
          <w:p w:rsidR="00D95AA8" w:rsidRPr="007F3C28" w:rsidRDefault="00D95AA8" w:rsidP="002E4C01">
            <w:pPr>
              <w:jc w:val="both"/>
              <w:cnfStyle w:val="0000000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313,3</w:t>
            </w:r>
          </w:p>
        </w:tc>
        <w:tc>
          <w:tcPr>
            <w:tcW w:w="1059" w:type="dxa"/>
          </w:tcPr>
          <w:p w:rsidR="00D95AA8" w:rsidRPr="007F3C28" w:rsidRDefault="00D95AA8" w:rsidP="002E4C01">
            <w:pPr>
              <w:jc w:val="both"/>
              <w:cnfStyle w:val="0000000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342,6</w:t>
            </w:r>
          </w:p>
        </w:tc>
        <w:tc>
          <w:tcPr>
            <w:tcW w:w="840" w:type="dxa"/>
          </w:tcPr>
          <w:p w:rsidR="00D95AA8" w:rsidRPr="007F3C28" w:rsidRDefault="00D95AA8" w:rsidP="002E4C01">
            <w:pPr>
              <w:jc w:val="both"/>
              <w:cnfStyle w:val="0000000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347,7</w:t>
            </w:r>
          </w:p>
        </w:tc>
        <w:tc>
          <w:tcPr>
            <w:tcW w:w="840" w:type="dxa"/>
          </w:tcPr>
          <w:p w:rsidR="00D95AA8" w:rsidRPr="007F3C28" w:rsidRDefault="00D95AA8" w:rsidP="002E4C01">
            <w:pPr>
              <w:jc w:val="both"/>
              <w:cnfStyle w:val="000000000000"/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</w:pPr>
            <w:r w:rsidRPr="007F3C28">
              <w:rPr>
                <w:rFonts w:ascii="Franklin Gothic Heavy" w:hAnsi="Franklin Gothic Heavy" w:cs="Andalus"/>
                <w:color w:val="1F497D" w:themeColor="text2"/>
                <w:sz w:val="26"/>
                <w:szCs w:val="26"/>
              </w:rPr>
              <w:t>348,8</w:t>
            </w:r>
          </w:p>
        </w:tc>
      </w:tr>
    </w:tbl>
    <w:p w:rsidR="00442C8D" w:rsidRPr="007F3C28" w:rsidRDefault="00442C8D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</w:p>
    <w:p w:rsidR="00442C8D" w:rsidRPr="007F3C28" w:rsidRDefault="00D95AA8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Anul 2014</w:t>
      </w:r>
      <w:r w:rsidR="00442C8D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, in ciuda faptului ca a avut o dubla dimensiune electorala, ramane un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alt</w:t>
      </w:r>
      <w:r w:rsidR="00442C8D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an esuat din perspectiva reluarii dinamicii pozitive</w:t>
      </w:r>
      <w:r w:rsidR="004466E3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si sustenabile</w:t>
      </w:r>
      <w:r w:rsidR="00442C8D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a activitatii din sectorul de constructii.</w:t>
      </w:r>
    </w:p>
    <w:p w:rsidR="00442C8D" w:rsidRPr="007F3C28" w:rsidRDefault="00442C8D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  <w:lang w:val="en-US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Principalele caracteristici negative</w:t>
      </w:r>
      <w:r w:rsidR="00D95AA8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ale anului 2014 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raman ancorate in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  <w:lang w:val="en-US"/>
        </w:rPr>
        <w:t>:</w:t>
      </w:r>
    </w:p>
    <w:p w:rsidR="00442C8D" w:rsidRPr="007F3C28" w:rsidRDefault="00442C8D" w:rsidP="00442C8D">
      <w:pPr>
        <w:pStyle w:val="ListParagraph"/>
        <w:numPr>
          <w:ilvl w:val="0"/>
          <w:numId w:val="1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Inlocuirea competitiei corecte cu o alocare interesata politic a proiectelor,</w:t>
      </w:r>
    </w:p>
    <w:p w:rsidR="00442C8D" w:rsidRPr="007F3C28" w:rsidRDefault="00442C8D" w:rsidP="00442C8D">
      <w:pPr>
        <w:pStyle w:val="ListParagraph"/>
        <w:numPr>
          <w:ilvl w:val="0"/>
          <w:numId w:val="1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Amplificarea greutatilor in planul recuperarii creantelor de catre firmele de constructii,</w:t>
      </w:r>
    </w:p>
    <w:p w:rsidR="00442C8D" w:rsidRPr="007F3C28" w:rsidRDefault="00442C8D" w:rsidP="00442C8D">
      <w:pPr>
        <w:pStyle w:val="ListParagraph"/>
        <w:numPr>
          <w:ilvl w:val="0"/>
          <w:numId w:val="1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Sincope consistente in asigurarea finantarii pe proiectele incepute,</w:t>
      </w:r>
    </w:p>
    <w:p w:rsidR="00442C8D" w:rsidRPr="007F3C28" w:rsidRDefault="00442C8D" w:rsidP="00442C8D">
      <w:pPr>
        <w:pStyle w:val="ListParagraph"/>
        <w:numPr>
          <w:ilvl w:val="0"/>
          <w:numId w:val="1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Mentinerea pozitiilor abuzive ale entitatilor achizitoare cu capital de stat in materie de conditii contractuale,</w:t>
      </w:r>
      <w:r w:rsidR="0075576A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cai</w:t>
      </w:r>
      <w:r w:rsidR="00F971E7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ete de sarcini etc.</w:t>
      </w:r>
    </w:p>
    <w:p w:rsidR="00442C8D" w:rsidRPr="007F3C28" w:rsidRDefault="00442C8D" w:rsidP="00442C8D">
      <w:pPr>
        <w:pStyle w:val="ListParagraph"/>
        <w:numPr>
          <w:ilvl w:val="0"/>
          <w:numId w:val="1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Alterarea mecanismelor de facturare di</w:t>
      </w:r>
      <w:r w:rsidR="00F971E7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n cauza platii anticipate a TVA.</w:t>
      </w:r>
    </w:p>
    <w:p w:rsidR="00442C8D" w:rsidRPr="007F3C28" w:rsidRDefault="00442C8D" w:rsidP="00442C8D">
      <w:pPr>
        <w:pStyle w:val="ListParagraph"/>
        <w:numPr>
          <w:ilvl w:val="0"/>
          <w:numId w:val="1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Incapacitatea autoritatilor de a promova proiecte in parteneriat public-privat si declinul sever al investitiilor straine directe,</w:t>
      </w:r>
    </w:p>
    <w:p w:rsidR="00442C8D" w:rsidRPr="007F3C28" w:rsidRDefault="00442C8D" w:rsidP="00442C8D">
      <w:pPr>
        <w:pStyle w:val="ListParagraph"/>
        <w:numPr>
          <w:ilvl w:val="0"/>
          <w:numId w:val="1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lastRenderedPageBreak/>
        <w:t>Nefinalizarea de catre ANRMAP a caietelor de sarcini standardizate pe tipuri de lucrari,</w:t>
      </w:r>
    </w:p>
    <w:p w:rsidR="00442C8D" w:rsidRPr="007F3C28" w:rsidRDefault="00442C8D" w:rsidP="00442C8D">
      <w:pPr>
        <w:pStyle w:val="ListParagraph"/>
        <w:numPr>
          <w:ilvl w:val="0"/>
          <w:numId w:val="1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Toleranta complice a  multor entitati achizitoare in ceea ce priveste utilizarea unor operatori fara certificare a capabilitatii tehnice si umane,</w:t>
      </w:r>
    </w:p>
    <w:p w:rsidR="00442C8D" w:rsidRPr="007F3C28" w:rsidRDefault="00442C8D" w:rsidP="00442C8D">
      <w:pPr>
        <w:pStyle w:val="ListParagraph"/>
        <w:numPr>
          <w:ilvl w:val="0"/>
          <w:numId w:val="1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Continuarea epidemiei de insolvente/falimente in randul societatilor de constructii.</w:t>
      </w:r>
    </w:p>
    <w:p w:rsidR="007F3C28" w:rsidRDefault="007F3C28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</w:p>
    <w:p w:rsidR="007F3C28" w:rsidRDefault="007F3C28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</w:p>
    <w:p w:rsidR="00442C8D" w:rsidRPr="007F3C28" w:rsidRDefault="00442C8D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Principalele masuri si propuneri pe care ARACO, in mod constructiv,  le sustine la </w:t>
      </w:r>
      <w:r w:rsidR="00D95AA8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inceputul anului 2015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, sunt structurate dupa cum urmeaza:</w:t>
      </w:r>
    </w:p>
    <w:p w:rsidR="00442C8D" w:rsidRPr="007F3C28" w:rsidRDefault="00442C8D" w:rsidP="004466E3">
      <w:pPr>
        <w:pStyle w:val="ListParagraph"/>
        <w:numPr>
          <w:ilvl w:val="0"/>
          <w:numId w:val="8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Asumarea de catre Guvern a unui Program de plata a creantelor  de catre entitatile achizitoare cu capital de stat si a autoritatilor locale alaturi de societatile cu capital de stat a creantelor aferente societatilor de </w:t>
      </w:r>
      <w:r w:rsidR="00D95AA8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constructii  perioadei 2009-2014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;</w:t>
      </w:r>
    </w:p>
    <w:p w:rsidR="00442C8D" w:rsidRPr="007F3C28" w:rsidRDefault="00442C8D" w:rsidP="004466E3">
      <w:pPr>
        <w:pStyle w:val="ListParagraph"/>
        <w:numPr>
          <w:ilvl w:val="0"/>
          <w:numId w:val="8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Comunicarea publica de catre ministerele de profil si autoritatile locale a programelor de investitii </w:t>
      </w:r>
      <w:r w:rsidR="00D95AA8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pentru 2015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si precizarea disponibilitatii resurselor financiare aferente.</w:t>
      </w:r>
    </w:p>
    <w:p w:rsidR="00442C8D" w:rsidRPr="007F3C28" w:rsidRDefault="00442C8D" w:rsidP="004466E3">
      <w:pPr>
        <w:pStyle w:val="ListParagraph"/>
        <w:numPr>
          <w:ilvl w:val="0"/>
          <w:numId w:val="8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Promovarea si sustinerea selectionata, prioritizata de catre Guvern</w:t>
      </w:r>
      <w:r w:rsidR="00EB50CA">
        <w:rPr>
          <w:rFonts w:ascii="Franklin Gothic Heavy" w:hAnsi="Franklin Gothic Heavy" w:cs="Andalus"/>
          <w:color w:val="1F497D" w:themeColor="text2"/>
          <w:sz w:val="26"/>
          <w:szCs w:val="26"/>
        </w:rPr>
        <w:t>,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prin ministerele aferente</w:t>
      </w:r>
      <w:r w:rsidR="00EB50CA">
        <w:rPr>
          <w:rFonts w:ascii="Franklin Gothic Heavy" w:hAnsi="Franklin Gothic Heavy" w:cs="Andalus"/>
          <w:color w:val="1F497D" w:themeColor="text2"/>
          <w:sz w:val="26"/>
          <w:szCs w:val="26"/>
        </w:rPr>
        <w:t>,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a investitiilor in continuare si a celor noi in domeniile infrastructurii rutiere, a infrastructurii CF, a infrastructurii de mediu, a infrastructurii energetice clasice si verzi, a infrastructurii edilitare, a infrastructurii din domeniul sanatatii, a infrastructurii agricole si din turism, a constructiilor de locuinte noi ( inclusiv locuinte sociale), a programelor de reabilitare energetica a cladirilor vechi si noi, private sau publice.</w:t>
      </w:r>
    </w:p>
    <w:p w:rsidR="00226C4D" w:rsidRPr="007F3C28" w:rsidRDefault="00226C4D" w:rsidP="004466E3">
      <w:pPr>
        <w:pStyle w:val="ListParagraph"/>
        <w:numPr>
          <w:ilvl w:val="0"/>
          <w:numId w:val="8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Implementarea in legislatia interna  cat mai urgent a noii Legi a achizitiilor publice in baza Directivei Comunitare 24/2013.</w:t>
      </w:r>
    </w:p>
    <w:p w:rsidR="00442C8D" w:rsidRPr="007F3C28" w:rsidRDefault="00442C8D" w:rsidP="004466E3">
      <w:pPr>
        <w:pStyle w:val="ListParagraph"/>
        <w:numPr>
          <w:ilvl w:val="0"/>
          <w:numId w:val="8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Restatuarea conditiilor generale de contractare FIDIC</w:t>
      </w:r>
      <w:r w:rsidR="00226C4D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in legislatia interna</w:t>
      </w:r>
      <w:r w:rsidR="004466E3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, in baza negocierilor purtate de peste 2 ani intre ARACO, ARIC si MFE</w:t>
      </w:r>
      <w:r w:rsidR="00226C4D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.</w:t>
      </w:r>
    </w:p>
    <w:p w:rsidR="004466E3" w:rsidRPr="007F3C28" w:rsidRDefault="004466E3" w:rsidP="004466E3">
      <w:pPr>
        <w:pStyle w:val="ListParagraph"/>
        <w:numPr>
          <w:ilvl w:val="0"/>
          <w:numId w:val="8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Finalizarea negocierilor dintre Guvern si FIDIC pentru reactualizarea licentei.</w:t>
      </w:r>
    </w:p>
    <w:p w:rsidR="00442C8D" w:rsidRPr="007F3C28" w:rsidRDefault="00F971E7" w:rsidP="004466E3">
      <w:pPr>
        <w:pStyle w:val="ListParagraph"/>
        <w:numPr>
          <w:ilvl w:val="0"/>
          <w:numId w:val="8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Atentio</w:t>
      </w:r>
      <w:r w:rsidR="00442C8D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narea entitatilor achizitoare cu capital public asupra extinderii periculoase a acordarii de lucrari publice pe baza pretului cel mai scazut sau acceptand oferte anormal de joase valoric care devin sursa de competitie neleala, frauda sociala si care, de cele </w:t>
      </w:r>
      <w:r w:rsidR="00442C8D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lastRenderedPageBreak/>
        <w:t>mai multe ori, se finalizeaza cu costuri finale mai mari si o afectare semnificativa a nivelului calitatii lucrarilor.</w:t>
      </w:r>
    </w:p>
    <w:p w:rsidR="004466E3" w:rsidRPr="007F3C28" w:rsidRDefault="00442C8D" w:rsidP="004466E3">
      <w:pPr>
        <w:pStyle w:val="ListParagraph"/>
        <w:numPr>
          <w:ilvl w:val="0"/>
          <w:numId w:val="8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Promovarea HG</w:t>
      </w:r>
      <w:r w:rsidR="00F971E7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propusa de asociatiile profesionale si patronale din sectorul de constructii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privind certificarea capabilitatii tehnice a operatorilor din constructii;</w:t>
      </w:r>
    </w:p>
    <w:p w:rsidR="00415B51" w:rsidRPr="007F3C28" w:rsidRDefault="002032BB" w:rsidP="004466E3">
      <w:pPr>
        <w:pStyle w:val="ListParagraph"/>
        <w:numPr>
          <w:ilvl w:val="0"/>
          <w:numId w:val="8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Finalizarea</w:t>
      </w:r>
      <w:r w:rsidR="004466E3" w:rsidRPr="007F3C28">
        <w:rPr>
          <w:rFonts w:ascii="Franklin Gothic Heavy" w:hAnsi="Franklin Gothic Heavy"/>
          <w:color w:val="1F497D" w:themeColor="text2"/>
          <w:sz w:val="26"/>
          <w:szCs w:val="26"/>
        </w:rPr>
        <w:t xml:space="preserve"> 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 xml:space="preserve">urgenta a discutiilor cu CE pe tema </w:t>
      </w:r>
      <w:r w:rsidR="00415B51" w:rsidRPr="007F3C28">
        <w:rPr>
          <w:rFonts w:ascii="Franklin Gothic Heavy" w:hAnsi="Franklin Gothic Heavy"/>
          <w:color w:val="1F497D" w:themeColor="text2"/>
          <w:sz w:val="26"/>
          <w:szCs w:val="26"/>
        </w:rPr>
        <w:t xml:space="preserve"> Master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 xml:space="preserve"> Planului General de Transport</w:t>
      </w:r>
      <w:r w:rsidR="00415B51" w:rsidRPr="007F3C28">
        <w:rPr>
          <w:rFonts w:ascii="Franklin Gothic Heavy" w:hAnsi="Franklin Gothic Heavy"/>
          <w:color w:val="1F497D" w:themeColor="text2"/>
          <w:sz w:val="26"/>
          <w:szCs w:val="26"/>
        </w:rPr>
        <w:t>.</w:t>
      </w:r>
    </w:p>
    <w:p w:rsidR="009A45B7" w:rsidRPr="007F3C28" w:rsidRDefault="00F971E7" w:rsidP="009A45B7">
      <w:pPr>
        <w:pStyle w:val="ListParagraph"/>
        <w:numPr>
          <w:ilvl w:val="0"/>
          <w:numId w:val="8"/>
        </w:num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 xml:space="preserve">Identificarea solutiilor tehnico economice sustenabile care sa permita inceperea lucrarilor la autostrada Comarnic-Brasov in conditiile in care studiul de fezabilitate precizeaza </w:t>
      </w:r>
      <w:r w:rsidR="009A45B7" w:rsidRPr="007F3C28">
        <w:rPr>
          <w:rFonts w:ascii="Franklin Gothic Heavy" w:hAnsi="Franklin Gothic Heavy"/>
          <w:color w:val="1F497D" w:themeColor="text2"/>
          <w:sz w:val="26"/>
          <w:szCs w:val="26"/>
        </w:rPr>
        <w:t>pierderile datorate amanarii construirii autostrazii conform  tabelului de mai jos:</w:t>
      </w:r>
    </w:p>
    <w:p w:rsidR="009A45B7" w:rsidRPr="007F3C28" w:rsidRDefault="00DE0D37" w:rsidP="009A45B7">
      <w:pPr>
        <w:pStyle w:val="Normal1"/>
        <w:ind w:left="720"/>
        <w:rPr>
          <w:rFonts w:ascii="Franklin Gothic Heavy" w:hAnsi="Franklin Gothic Heavy"/>
          <w:color w:val="1F497D" w:themeColor="text2"/>
          <w:sz w:val="26"/>
          <w:szCs w:val="26"/>
          <w:lang w:val="ro-RO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  <w:lang w:val="ro-RO"/>
        </w:rPr>
        <w:fldChar w:fldCharType="begin"/>
      </w:r>
      <w:r w:rsidR="009A45B7" w:rsidRPr="007F3C28">
        <w:rPr>
          <w:rFonts w:ascii="Franklin Gothic Heavy" w:hAnsi="Franklin Gothic Heavy"/>
          <w:color w:val="1F497D" w:themeColor="text2"/>
          <w:sz w:val="26"/>
          <w:szCs w:val="26"/>
          <w:lang w:val="ro-RO"/>
        </w:rPr>
        <w:instrText xml:space="preserve"> LINK Excel.Sheet.8 "" "" \a \p \* MERGEFORMAT </w:instrText>
      </w:r>
      <w:r w:rsidRPr="007F3C28">
        <w:rPr>
          <w:rFonts w:ascii="Franklin Gothic Heavy" w:hAnsi="Franklin Gothic Heavy"/>
          <w:color w:val="1F497D" w:themeColor="text2"/>
          <w:sz w:val="26"/>
          <w:szCs w:val="26"/>
          <w:lang w:val="ro-RO"/>
        </w:rPr>
        <w:fldChar w:fldCharType="separate"/>
      </w:r>
      <w:r w:rsidR="009A45B7" w:rsidRPr="007F3C28">
        <w:rPr>
          <w:rFonts w:ascii="Franklin Gothic Heavy" w:hAnsi="Franklin Gothic Heavy"/>
          <w:noProof/>
          <w:color w:val="1F497D" w:themeColor="text2"/>
          <w:sz w:val="26"/>
          <w:szCs w:val="26"/>
          <w:lang w:val="en-US"/>
        </w:rPr>
        <w:drawing>
          <wp:inline distT="0" distB="0" distL="0" distR="0">
            <wp:extent cx="5251450" cy="7620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3C28">
        <w:rPr>
          <w:rFonts w:ascii="Franklin Gothic Heavy" w:hAnsi="Franklin Gothic Heavy"/>
          <w:color w:val="1F497D" w:themeColor="text2"/>
          <w:sz w:val="26"/>
          <w:szCs w:val="26"/>
          <w:lang w:val="ro-RO"/>
        </w:rPr>
        <w:fldChar w:fldCharType="end"/>
      </w:r>
    </w:p>
    <w:p w:rsidR="009A45B7" w:rsidRPr="007F3C28" w:rsidRDefault="009A45B7" w:rsidP="009A45B7">
      <w:pPr>
        <w:pStyle w:val="ListParagraph"/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</w:p>
    <w:p w:rsidR="00415B51" w:rsidRPr="007F3C28" w:rsidRDefault="00415B51" w:rsidP="004466E3">
      <w:pPr>
        <w:pStyle w:val="Corp"/>
        <w:numPr>
          <w:ilvl w:val="0"/>
          <w:numId w:val="8"/>
        </w:numPr>
        <w:jc w:val="both"/>
        <w:rPr>
          <w:rFonts w:ascii="Franklin Gothic Heavy" w:hAnsi="Franklin Gothic Heavy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Convenirea unei secven</w:t>
      </w:r>
      <w:r w:rsidR="002032BB" w:rsidRPr="007F3C28">
        <w:rPr>
          <w:rFonts w:ascii="Franklin Gothic Heavy" w:hAnsi="Franklin Gothic Heavy"/>
          <w:color w:val="1F497D" w:themeColor="text2"/>
          <w:sz w:val="26"/>
          <w:szCs w:val="26"/>
        </w:rPr>
        <w:t>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e cronologice noi de licitare a serviciilor de consultanta si de execu</w:t>
      </w:r>
      <w:r w:rsidR="002032BB" w:rsidRPr="007F3C28">
        <w:rPr>
          <w:rFonts w:ascii="Franklin Gothic Heavy" w:hAnsi="Franklin Gothic Heavy"/>
          <w:color w:val="1F497D" w:themeColor="text2"/>
          <w:sz w:val="26"/>
          <w:szCs w:val="26"/>
        </w:rPr>
        <w:t>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ie la proiectele de infrastructura.</w:t>
      </w:r>
    </w:p>
    <w:p w:rsidR="007F3C28" w:rsidRPr="007F3C28" w:rsidRDefault="007F3C28" w:rsidP="004466E3">
      <w:pPr>
        <w:pStyle w:val="Corp"/>
        <w:numPr>
          <w:ilvl w:val="0"/>
          <w:numId w:val="8"/>
        </w:numPr>
        <w:jc w:val="both"/>
        <w:rPr>
          <w:rFonts w:ascii="Franklin Gothic Heavy" w:hAnsi="Franklin Gothic Heavy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Stoparea tendintei abuzive a CNADNR de a acorda contracte pentru serviciile de consultanta catre DRDP</w:t>
      </w:r>
      <w:r w:rsidR="0047202A">
        <w:rPr>
          <w:rFonts w:ascii="Franklin Gothic Heavy" w:hAnsi="Franklin Gothic Heavy"/>
          <w:color w:val="1F497D" w:themeColor="text2"/>
          <w:sz w:val="26"/>
          <w:szCs w:val="26"/>
        </w:rPr>
        <w:t>,</w:t>
      </w:r>
      <w:bookmarkStart w:id="0" w:name="_GoBack"/>
      <w:bookmarkEnd w:id="0"/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 xml:space="preserve"> cel putin din perspectiva conflictului de interese generat.</w:t>
      </w:r>
    </w:p>
    <w:p w:rsidR="00415B51" w:rsidRPr="007F3C28" w:rsidRDefault="00415B51" w:rsidP="004466E3">
      <w:pPr>
        <w:pStyle w:val="Corp"/>
        <w:numPr>
          <w:ilvl w:val="0"/>
          <w:numId w:val="8"/>
        </w:numPr>
        <w:jc w:val="both"/>
        <w:rPr>
          <w:rFonts w:ascii="Franklin Gothic Heavy" w:hAnsi="Franklin Gothic Heavy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Promovarea  si sus</w:t>
      </w:r>
      <w:r w:rsidR="002032BB" w:rsidRPr="007F3C28">
        <w:rPr>
          <w:rFonts w:ascii="Franklin Gothic Heavy" w:hAnsi="Franklin Gothic Heavy"/>
          <w:color w:val="1F497D" w:themeColor="text2"/>
          <w:sz w:val="26"/>
          <w:szCs w:val="26"/>
        </w:rPr>
        <w:t>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inerea financiară a unor  programe speciale ( eficientizare energetică, structuri critice, protec</w:t>
      </w:r>
      <w:r w:rsidR="002032BB" w:rsidRPr="007F3C28">
        <w:rPr>
          <w:rFonts w:ascii="Franklin Gothic Heavy" w:hAnsi="Franklin Gothic Heavy"/>
          <w:color w:val="1F497D" w:themeColor="text2"/>
          <w:sz w:val="26"/>
          <w:szCs w:val="26"/>
        </w:rPr>
        <w:t>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ie antiseismica, dezazbestizare etc) fie cu bani de la buget fie cu bani din Programul de investi</w:t>
      </w:r>
      <w:r w:rsidR="002032BB" w:rsidRPr="007F3C28">
        <w:rPr>
          <w:rFonts w:ascii="Franklin Gothic Heavy" w:hAnsi="Franklin Gothic Heavy"/>
          <w:color w:val="1F497D" w:themeColor="text2"/>
          <w:sz w:val="26"/>
          <w:szCs w:val="26"/>
        </w:rPr>
        <w:t>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ii strategice europene.</w:t>
      </w:r>
    </w:p>
    <w:p w:rsidR="004466E3" w:rsidRPr="007F3C28" w:rsidRDefault="004466E3" w:rsidP="004466E3">
      <w:pPr>
        <w:pStyle w:val="Corp"/>
        <w:numPr>
          <w:ilvl w:val="0"/>
          <w:numId w:val="8"/>
        </w:numPr>
        <w:jc w:val="both"/>
        <w:rPr>
          <w:rFonts w:ascii="Franklin Gothic Heavy" w:hAnsi="Franklin Gothic Heavy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Promovarea unui Program national de eliminare a azbestului din cladiri, corelata eventual cu eficientizarea energetica a acestora ( conform Avizului CESE/ CCMI 130 din februarie 2015 ).</w:t>
      </w:r>
    </w:p>
    <w:p w:rsidR="004466E3" w:rsidRPr="007F3C28" w:rsidRDefault="004466E3" w:rsidP="004466E3">
      <w:pPr>
        <w:pStyle w:val="Corp"/>
        <w:numPr>
          <w:ilvl w:val="0"/>
          <w:numId w:val="8"/>
        </w:numPr>
        <w:jc w:val="both"/>
        <w:rPr>
          <w:rFonts w:ascii="Franklin Gothic Heavy" w:hAnsi="Franklin Gothic Heavy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 xml:space="preserve">Adopatarea unor corectii in ceea ce priveste Normele tehnice sau reglementarilor inadecvate ( de ex NT 605 ale CNADNR lansate cu intarziere </w:t>
      </w:r>
      <w:r w:rsidR="00DB0E5F">
        <w:rPr>
          <w:rFonts w:ascii="Franklin Gothic Heavy" w:hAnsi="Franklin Gothic Heavy"/>
          <w:color w:val="1F497D" w:themeColor="text2"/>
          <w:sz w:val="26"/>
          <w:szCs w:val="26"/>
        </w:rPr>
        <w:t xml:space="preserve">in 2013, actualizate in 2014 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si avand inca numeroase puncte de conflict din perspectiva armonizarii standardelor ).</w:t>
      </w:r>
    </w:p>
    <w:p w:rsidR="002032BB" w:rsidRPr="007F3C28" w:rsidRDefault="002032BB" w:rsidP="004466E3">
      <w:pPr>
        <w:pStyle w:val="Corp"/>
        <w:numPr>
          <w:ilvl w:val="0"/>
          <w:numId w:val="8"/>
        </w:numPr>
        <w:jc w:val="both"/>
        <w:rPr>
          <w:rFonts w:ascii="Franklin Gothic Heavy" w:hAnsi="Franklin Gothic Heavy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Adoptarea cu celeritate a proiectelor de Cod fiscal si Cod de procedura fiscala.</w:t>
      </w:r>
    </w:p>
    <w:p w:rsidR="00415B51" w:rsidRPr="007F3C28" w:rsidRDefault="00415B51" w:rsidP="004466E3">
      <w:pPr>
        <w:pStyle w:val="Corp"/>
        <w:numPr>
          <w:ilvl w:val="0"/>
          <w:numId w:val="8"/>
        </w:numPr>
        <w:jc w:val="both"/>
        <w:rPr>
          <w:rFonts w:ascii="Franklin Gothic Heavy" w:hAnsi="Franklin Gothic Heavy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Relansarea promovării unor solu</w:t>
      </w:r>
      <w:r w:rsidR="002032BB" w:rsidRPr="007F3C28">
        <w:rPr>
          <w:rFonts w:ascii="Franklin Gothic Heavy" w:hAnsi="Franklin Gothic Heavy"/>
          <w:color w:val="1F497D" w:themeColor="text2"/>
          <w:sz w:val="26"/>
          <w:szCs w:val="26"/>
        </w:rPr>
        <w:t>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ii de management privat pentu principalele entit</w:t>
      </w:r>
      <w:r w:rsidR="002032BB" w:rsidRPr="007F3C28">
        <w:rPr>
          <w:rFonts w:ascii="Franklin Gothic Heavy" w:hAnsi="Franklin Gothic Heavy"/>
          <w:color w:val="1F497D" w:themeColor="text2"/>
          <w:sz w:val="26"/>
          <w:szCs w:val="26"/>
        </w:rPr>
        <w:t>ăt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i achizitoare cu capital de stat.</w:t>
      </w:r>
    </w:p>
    <w:p w:rsidR="00415B51" w:rsidRPr="007F3C28" w:rsidRDefault="002032BB" w:rsidP="004466E3">
      <w:pPr>
        <w:pStyle w:val="Corp"/>
        <w:numPr>
          <w:ilvl w:val="0"/>
          <w:numId w:val="8"/>
        </w:numPr>
        <w:jc w:val="both"/>
        <w:rPr>
          <w:rFonts w:ascii="Franklin Gothic Heavy" w:hAnsi="Franklin Gothic Heavy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Finaliz</w:t>
      </w:r>
      <w:r w:rsidR="00415B51" w:rsidRPr="007F3C28">
        <w:rPr>
          <w:rFonts w:ascii="Franklin Gothic Heavy" w:hAnsi="Franklin Gothic Heavy"/>
          <w:color w:val="1F497D" w:themeColor="text2"/>
          <w:sz w:val="26"/>
          <w:szCs w:val="26"/>
        </w:rPr>
        <w:t>area unor programe de pregătire a echipelor tehnice de la entit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ăt</w:t>
      </w:r>
      <w:r w:rsidR="00415B51" w:rsidRPr="007F3C28">
        <w:rPr>
          <w:rFonts w:ascii="Franklin Gothic Heavy" w:hAnsi="Franklin Gothic Heavy"/>
          <w:color w:val="1F497D" w:themeColor="text2"/>
          <w:sz w:val="26"/>
          <w:szCs w:val="26"/>
        </w:rPr>
        <w:t>ile achizitoare si societ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ăt</w:t>
      </w:r>
      <w:r w:rsidR="00415B51" w:rsidRPr="007F3C28">
        <w:rPr>
          <w:rFonts w:ascii="Franklin Gothic Heavy" w:hAnsi="Franklin Gothic Heavy"/>
          <w:color w:val="1F497D" w:themeColor="text2"/>
          <w:sz w:val="26"/>
          <w:szCs w:val="26"/>
        </w:rPr>
        <w:t>ile de constructii pentru procedurile de lucru care vor deriva din modificarea legisla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tiei</w:t>
      </w:r>
      <w:r w:rsidR="00415B51" w:rsidRPr="007F3C28">
        <w:rPr>
          <w:rFonts w:ascii="Franklin Gothic Heavy" w:hAnsi="Franklin Gothic Heavy"/>
          <w:color w:val="1F497D" w:themeColor="text2"/>
          <w:sz w:val="26"/>
          <w:szCs w:val="26"/>
        </w:rPr>
        <w:t xml:space="preserve"> achizi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t</w:t>
      </w:r>
      <w:r w:rsidR="00415B51" w:rsidRPr="007F3C28">
        <w:rPr>
          <w:rFonts w:ascii="Franklin Gothic Heavy" w:hAnsi="Franklin Gothic Heavy"/>
          <w:color w:val="1F497D" w:themeColor="text2"/>
          <w:sz w:val="26"/>
          <w:szCs w:val="26"/>
        </w:rPr>
        <w:t>iilor publice.</w:t>
      </w:r>
    </w:p>
    <w:p w:rsidR="00415B51" w:rsidRPr="007F3C28" w:rsidRDefault="00415B51" w:rsidP="004466E3">
      <w:pPr>
        <w:pStyle w:val="Corp"/>
        <w:numPr>
          <w:ilvl w:val="0"/>
          <w:numId w:val="8"/>
        </w:numPr>
        <w:jc w:val="both"/>
        <w:rPr>
          <w:rFonts w:ascii="Franklin Gothic Heavy" w:hAnsi="Franklin Gothic Heavy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lastRenderedPageBreak/>
        <w:t>Atragerea de exper</w:t>
      </w:r>
      <w:r w:rsidR="002032BB" w:rsidRPr="007F3C28">
        <w:rPr>
          <w:rFonts w:ascii="Franklin Gothic Heavy" w:hAnsi="Franklin Gothic Heavy"/>
          <w:color w:val="1F497D" w:themeColor="text2"/>
          <w:sz w:val="26"/>
          <w:szCs w:val="26"/>
        </w:rPr>
        <w:t>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i tehnici neutri in comisiile de licita</w:t>
      </w:r>
      <w:r w:rsidR="002032BB" w:rsidRPr="007F3C28">
        <w:rPr>
          <w:rFonts w:ascii="Franklin Gothic Heavy" w:hAnsi="Franklin Gothic Heavy"/>
          <w:color w:val="1F497D" w:themeColor="text2"/>
          <w:sz w:val="26"/>
          <w:szCs w:val="26"/>
        </w:rPr>
        <w:t>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ii la entit</w:t>
      </w:r>
      <w:r w:rsidR="002032BB" w:rsidRPr="007F3C28">
        <w:rPr>
          <w:rFonts w:ascii="Franklin Gothic Heavy" w:hAnsi="Franklin Gothic Heavy"/>
          <w:color w:val="1F497D" w:themeColor="text2"/>
          <w:sz w:val="26"/>
          <w:szCs w:val="26"/>
        </w:rPr>
        <w:t>ăt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ile</w:t>
      </w:r>
      <w:r w:rsidR="002032BB" w:rsidRPr="007F3C28">
        <w:rPr>
          <w:rFonts w:ascii="Franklin Gothic Heavy" w:hAnsi="Franklin Gothic Heavy"/>
          <w:color w:val="1F497D" w:themeColor="text2"/>
          <w:sz w:val="26"/>
          <w:szCs w:val="26"/>
        </w:rPr>
        <w:t xml:space="preserve"> achizitoare cu capital de stat sau externalizarea temporara a acestor activitati</w:t>
      </w:r>
      <w:r w:rsidR="0013786E" w:rsidRPr="007F3C28">
        <w:rPr>
          <w:rFonts w:ascii="Franklin Gothic Heavy" w:hAnsi="Franklin Gothic Heavy"/>
          <w:color w:val="1F497D" w:themeColor="text2"/>
          <w:sz w:val="26"/>
          <w:szCs w:val="26"/>
        </w:rPr>
        <w:t>.</w:t>
      </w:r>
    </w:p>
    <w:p w:rsidR="0013786E" w:rsidRPr="007F3C28" w:rsidRDefault="004466E3" w:rsidP="004466E3">
      <w:pPr>
        <w:pStyle w:val="Corp"/>
        <w:numPr>
          <w:ilvl w:val="0"/>
          <w:numId w:val="8"/>
        </w:numPr>
        <w:jc w:val="both"/>
        <w:rPr>
          <w:rFonts w:ascii="Franklin Gothic Heavy" w:hAnsi="Franklin Gothic Heavy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Practicarea unor cu</w:t>
      </w:r>
      <w:r w:rsidR="00883DB8">
        <w:rPr>
          <w:rFonts w:ascii="Franklin Gothic Heavy" w:hAnsi="Franklin Gothic Heavy"/>
          <w:color w:val="1F497D" w:themeColor="text2"/>
          <w:sz w:val="26"/>
          <w:szCs w:val="26"/>
        </w:rPr>
        <w:t>a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 xml:space="preserve">ntumuri </w:t>
      </w:r>
      <w:r w:rsidR="007F3C28" w:rsidRPr="007F3C28">
        <w:rPr>
          <w:rFonts w:ascii="Franklin Gothic Heavy" w:hAnsi="Franklin Gothic Heavy"/>
          <w:color w:val="1F497D" w:themeColor="text2"/>
          <w:sz w:val="26"/>
          <w:szCs w:val="26"/>
        </w:rPr>
        <w:t xml:space="preserve">legale </w:t>
      </w:r>
      <w:r w:rsidRPr="007F3C28">
        <w:rPr>
          <w:rFonts w:ascii="Franklin Gothic Heavy" w:hAnsi="Franklin Gothic Heavy"/>
          <w:color w:val="1F497D" w:themeColor="text2"/>
          <w:sz w:val="26"/>
          <w:szCs w:val="26"/>
        </w:rPr>
        <w:t>negociate inferioare valorii de 10% pentru garantiile de buna executie.</w:t>
      </w:r>
    </w:p>
    <w:p w:rsidR="00442C8D" w:rsidRPr="007F3C28" w:rsidRDefault="00442C8D" w:rsidP="0013786E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</w:p>
    <w:p w:rsidR="00442C8D" w:rsidRPr="007F3C28" w:rsidRDefault="00442C8D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CONCLUZII</w:t>
      </w:r>
    </w:p>
    <w:p w:rsidR="00442C8D" w:rsidRPr="007F3C28" w:rsidRDefault="002032BB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1</w:t>
      </w:r>
      <w:r w:rsidR="00442C8D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. Consideram absolut necesar ca entitatile achizitoare sa adopte o atitudine de parteneriat constructiv renuntand la pozitiile, de multe ori, abuzive !</w:t>
      </w:r>
    </w:p>
    <w:p w:rsidR="00442C8D" w:rsidRPr="007F3C28" w:rsidRDefault="002032BB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2</w:t>
      </w:r>
      <w:r w:rsidR="00442C8D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. ARACO solicita imperativ inca o data autoritatilor la nivel national si local sa inteleaga ca sectorul de constructii nu trebuie sa ramana </w:t>
      </w:r>
      <w:r w:rsidR="00DD75EA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in postura de victima </w:t>
      </w:r>
      <w:r w:rsidR="00442C8D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a crizei economice si a intereselor politice conjuncturale. </w:t>
      </w:r>
    </w:p>
    <w:p w:rsidR="004466E3" w:rsidRPr="007F3C28" w:rsidRDefault="002032BB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3. ARACO, prin reprezentatii si expertii sai, isi ofera disponibilitatea pentru</w:t>
      </w:r>
      <w:r w:rsidR="0013786E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colaborarea necesara in sensul pregatirii corespunzatoare si eficiente a solutiilor legislative solicitate si a</w:t>
      </w:r>
      <w:r w:rsidR="00DD75EA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implementarii</w:t>
      </w:r>
      <w:r w:rsidR="0013786E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masurilor propuse !</w:t>
      </w:r>
    </w:p>
    <w:p w:rsidR="004466E3" w:rsidRPr="007F3C28" w:rsidRDefault="00442C8D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Un nou esec</w:t>
      </w:r>
      <w:r w:rsidR="002032BB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in planul relansarii </w:t>
      </w:r>
      <w:r w:rsidR="00DD75EA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sustenabile si eficace a </w:t>
      </w:r>
      <w:r w:rsidR="002032BB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activitatii in acest sector 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</w:t>
      </w:r>
      <w:r w:rsidR="002032BB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in 2015 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nu va genera numai un</w:t>
      </w:r>
      <w:r w:rsidR="002032BB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s</w:t>
      </w:r>
      <w:r w:rsidR="004466E3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omaj pronuntat</w:t>
      </w:r>
      <w:r w:rsidR="002032BB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,</w:t>
      </w: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 dar va afecta pe termen lung competitivitatea societatilor de constructii si capacitatea acestora de a se implica in proiectele finantate din fo</w:t>
      </w:r>
      <w:r w:rsidR="004466E3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nduri structurale in 2014-2020, inclusiv cu efecte negative asupra gradului de absorbtie a surselor de finantare CE</w:t>
      </w:r>
      <w:r w:rsidR="0013786E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.</w:t>
      </w:r>
    </w:p>
    <w:p w:rsidR="007F3C28" w:rsidRDefault="007F3C28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</w:p>
    <w:p w:rsidR="007F3C28" w:rsidRDefault="007F3C28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</w:p>
    <w:p w:rsidR="00442C8D" w:rsidRPr="007F3C28" w:rsidRDefault="00442C8D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Presedinte,</w:t>
      </w:r>
    </w:p>
    <w:p w:rsidR="00442C8D" w:rsidRPr="007F3C28" w:rsidRDefault="009A1AA1" w:rsidP="00442C8D">
      <w:pPr>
        <w:jc w:val="both"/>
        <w:rPr>
          <w:rFonts w:ascii="Franklin Gothic Heavy" w:hAnsi="Franklin Gothic Heavy" w:cs="Andalus"/>
          <w:color w:val="1F497D" w:themeColor="text2"/>
          <w:sz w:val="26"/>
          <w:szCs w:val="26"/>
        </w:rPr>
      </w:pPr>
      <w:r>
        <w:rPr>
          <w:rFonts w:ascii="Franklin Gothic Heavy" w:hAnsi="Franklin Gothic Heavy" w:cs="Andalus"/>
          <w:color w:val="1F497D" w:themeColor="text2"/>
          <w:sz w:val="26"/>
          <w:szCs w:val="26"/>
        </w:rPr>
        <w:t xml:space="preserve">Laurentiu Plosceanu </w:t>
      </w:r>
      <w:r>
        <w:rPr>
          <w:rFonts w:ascii="Franklin Gothic Heavy" w:hAnsi="Franklin Gothic Heavy" w:cs="Andalus"/>
          <w:color w:val="1F497D" w:themeColor="text2"/>
          <w:sz w:val="26"/>
          <w:szCs w:val="26"/>
        </w:rPr>
        <w:tab/>
      </w:r>
      <w:r>
        <w:rPr>
          <w:rFonts w:ascii="Franklin Gothic Heavy" w:hAnsi="Franklin Gothic Heavy" w:cs="Andalus"/>
          <w:color w:val="1F497D" w:themeColor="text2"/>
          <w:sz w:val="26"/>
          <w:szCs w:val="26"/>
        </w:rPr>
        <w:tab/>
      </w:r>
      <w:r>
        <w:rPr>
          <w:rFonts w:ascii="Franklin Gothic Heavy" w:hAnsi="Franklin Gothic Heavy" w:cs="Andalus"/>
          <w:color w:val="1F497D" w:themeColor="text2"/>
          <w:sz w:val="26"/>
          <w:szCs w:val="26"/>
        </w:rPr>
        <w:tab/>
      </w:r>
      <w:r>
        <w:rPr>
          <w:rFonts w:ascii="Franklin Gothic Heavy" w:hAnsi="Franklin Gothic Heavy" w:cs="Andalus"/>
          <w:color w:val="1F497D" w:themeColor="text2"/>
          <w:sz w:val="26"/>
          <w:szCs w:val="26"/>
        </w:rPr>
        <w:tab/>
      </w:r>
      <w:r>
        <w:rPr>
          <w:rFonts w:ascii="Franklin Gothic Heavy" w:hAnsi="Franklin Gothic Heavy" w:cs="Andalus"/>
          <w:color w:val="1F497D" w:themeColor="text2"/>
          <w:sz w:val="26"/>
          <w:szCs w:val="26"/>
        </w:rPr>
        <w:tab/>
      </w:r>
      <w:r>
        <w:rPr>
          <w:rFonts w:ascii="Franklin Gothic Heavy" w:hAnsi="Franklin Gothic Heavy" w:cs="Andalus"/>
          <w:color w:val="1F497D" w:themeColor="text2"/>
          <w:sz w:val="26"/>
          <w:szCs w:val="26"/>
        </w:rPr>
        <w:tab/>
      </w:r>
      <w:r>
        <w:rPr>
          <w:rFonts w:ascii="Franklin Gothic Heavy" w:hAnsi="Franklin Gothic Heavy" w:cs="Andalus"/>
          <w:color w:val="1F497D" w:themeColor="text2"/>
          <w:sz w:val="26"/>
          <w:szCs w:val="26"/>
        </w:rPr>
        <w:tab/>
        <w:t>24</w:t>
      </w:r>
      <w:r w:rsidR="002032BB" w:rsidRPr="007F3C28">
        <w:rPr>
          <w:rFonts w:ascii="Franklin Gothic Heavy" w:hAnsi="Franklin Gothic Heavy" w:cs="Andalus"/>
          <w:color w:val="1F497D" w:themeColor="text2"/>
          <w:sz w:val="26"/>
          <w:szCs w:val="26"/>
        </w:rPr>
        <w:t>.03.2015</w:t>
      </w:r>
    </w:p>
    <w:sectPr w:rsidR="00442C8D" w:rsidRPr="007F3C28" w:rsidSect="006E7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D0940"/>
    <w:multiLevelType w:val="multilevel"/>
    <w:tmpl w:val="F8A6A1D8"/>
    <w:styleLink w:val="Numerotat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1">
    <w:nsid w:val="1C214A8E"/>
    <w:multiLevelType w:val="hybridMultilevel"/>
    <w:tmpl w:val="14DE00E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3F38B8F8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F7521"/>
    <w:multiLevelType w:val="hybridMultilevel"/>
    <w:tmpl w:val="74CE913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336D84"/>
    <w:multiLevelType w:val="hybridMultilevel"/>
    <w:tmpl w:val="6B86959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12D63"/>
    <w:multiLevelType w:val="hybridMultilevel"/>
    <w:tmpl w:val="B5725E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404D45"/>
    <w:multiLevelType w:val="hybridMultilevel"/>
    <w:tmpl w:val="3F5E884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216014"/>
    <w:multiLevelType w:val="hybridMultilevel"/>
    <w:tmpl w:val="5F5CE694"/>
    <w:lvl w:ilvl="0" w:tplc="041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F73D5B"/>
    <w:multiLevelType w:val="hybridMultilevel"/>
    <w:tmpl w:val="19E85DD0"/>
    <w:lvl w:ilvl="0" w:tplc="041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2C8D"/>
    <w:rsid w:val="0013786E"/>
    <w:rsid w:val="001714DE"/>
    <w:rsid w:val="002032BB"/>
    <w:rsid w:val="00226C4D"/>
    <w:rsid w:val="00415B51"/>
    <w:rsid w:val="00442C8D"/>
    <w:rsid w:val="004466E3"/>
    <w:rsid w:val="0047202A"/>
    <w:rsid w:val="00483ED6"/>
    <w:rsid w:val="006E71C8"/>
    <w:rsid w:val="0075576A"/>
    <w:rsid w:val="007F3C28"/>
    <w:rsid w:val="00817593"/>
    <w:rsid w:val="00883DB8"/>
    <w:rsid w:val="009A1AA1"/>
    <w:rsid w:val="009A45B7"/>
    <w:rsid w:val="00D95AA8"/>
    <w:rsid w:val="00DB0E5F"/>
    <w:rsid w:val="00DD75EA"/>
    <w:rsid w:val="00DE0D37"/>
    <w:rsid w:val="00EB50CA"/>
    <w:rsid w:val="00F222AB"/>
    <w:rsid w:val="00F97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C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C8D"/>
    <w:pPr>
      <w:ind w:left="720"/>
      <w:contextualSpacing/>
    </w:pPr>
  </w:style>
  <w:style w:type="table" w:styleId="LightShading">
    <w:name w:val="Light Shading"/>
    <w:basedOn w:val="TableNormal"/>
    <w:uiPriority w:val="60"/>
    <w:rsid w:val="00442C8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95AA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rp">
    <w:name w:val="Corp"/>
    <w:rsid w:val="00415B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ro-RO"/>
    </w:rPr>
  </w:style>
  <w:style w:type="numbering" w:customStyle="1" w:styleId="Numerotate">
    <w:name w:val="Numerotate"/>
    <w:rsid w:val="00415B51"/>
    <w:pPr>
      <w:numPr>
        <w:numId w:val="3"/>
      </w:numPr>
    </w:pPr>
  </w:style>
  <w:style w:type="character" w:customStyle="1" w:styleId="NORMALChar1">
    <w:name w:val="NORMAL Char1"/>
    <w:link w:val="Normal1"/>
    <w:locked/>
    <w:rsid w:val="009A45B7"/>
    <w:rPr>
      <w:rFonts w:ascii="Tahoma" w:hAnsi="Tahoma" w:cs="Tahoma"/>
      <w:lang w:val="en-GB"/>
    </w:rPr>
  </w:style>
  <w:style w:type="paragraph" w:customStyle="1" w:styleId="Normal1">
    <w:name w:val="Normal1"/>
    <w:link w:val="NORMALChar1"/>
    <w:rsid w:val="009A45B7"/>
    <w:pPr>
      <w:spacing w:before="120" w:after="120" w:line="360" w:lineRule="auto"/>
      <w:jc w:val="both"/>
    </w:pPr>
    <w:rPr>
      <w:rFonts w:ascii="Tahoma" w:hAnsi="Tahoma" w:cs="Tahoma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5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3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1">
    <w:name w:val="Medium Shading 2 Accent 1"/>
    <w:basedOn w:val="TableNormal"/>
    <w:uiPriority w:val="64"/>
    <w:rsid w:val="00483E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483E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83E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C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C8D"/>
    <w:pPr>
      <w:ind w:left="720"/>
      <w:contextualSpacing/>
    </w:pPr>
  </w:style>
  <w:style w:type="table" w:styleId="LightShading">
    <w:name w:val="Light Shading"/>
    <w:basedOn w:val="TableNormal"/>
    <w:uiPriority w:val="60"/>
    <w:rsid w:val="00442C8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95AA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rp">
    <w:name w:val="Corp"/>
    <w:rsid w:val="00415B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ro-RO"/>
    </w:rPr>
  </w:style>
  <w:style w:type="numbering" w:customStyle="1" w:styleId="Numerotate">
    <w:name w:val="Numerotate"/>
    <w:rsid w:val="00415B51"/>
    <w:pPr>
      <w:numPr>
        <w:numId w:val="3"/>
      </w:numPr>
    </w:pPr>
  </w:style>
  <w:style w:type="character" w:customStyle="1" w:styleId="NORMALChar1">
    <w:name w:val="NORMAL Char1"/>
    <w:link w:val="Normal1"/>
    <w:locked/>
    <w:rsid w:val="009A45B7"/>
    <w:rPr>
      <w:rFonts w:ascii="Tahoma" w:hAnsi="Tahoma" w:cs="Tahoma"/>
      <w:lang w:val="en-GB"/>
    </w:rPr>
  </w:style>
  <w:style w:type="paragraph" w:customStyle="1" w:styleId="Normal1">
    <w:name w:val="Normal1"/>
    <w:link w:val="NORMALChar1"/>
    <w:rsid w:val="009A45B7"/>
    <w:pPr>
      <w:spacing w:before="120" w:after="120" w:line="360" w:lineRule="auto"/>
      <w:jc w:val="both"/>
    </w:pPr>
    <w:rPr>
      <w:rFonts w:ascii="Tahoma" w:hAnsi="Tahoma" w:cs="Tahoma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5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3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1">
    <w:name w:val="Medium Shading 2 Accent 1"/>
    <w:basedOn w:val="TableNormal"/>
    <w:uiPriority w:val="64"/>
    <w:rsid w:val="00483E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483E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83E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0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</dc:creator>
  <cp:lastModifiedBy>cristina.driga</cp:lastModifiedBy>
  <cp:revision>10</cp:revision>
  <dcterms:created xsi:type="dcterms:W3CDTF">2015-03-23T12:47:00Z</dcterms:created>
  <dcterms:modified xsi:type="dcterms:W3CDTF">2015-03-24T09:11:00Z</dcterms:modified>
</cp:coreProperties>
</file>